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221E5" w14:textId="7A3E2C20" w:rsidR="00A62071" w:rsidRPr="00CA2E1E" w:rsidRDefault="00CA2E1E">
      <w:pPr>
        <w:rPr>
          <w:rFonts w:ascii="Arial" w:hAnsi="Arial" w:cs="Arial"/>
          <w:b/>
          <w:bCs/>
          <w:sz w:val="28"/>
          <w:szCs w:val="28"/>
        </w:rPr>
      </w:pPr>
      <w:r w:rsidRPr="00CA2E1E">
        <w:rPr>
          <w:rFonts w:ascii="Arial" w:hAnsi="Arial" w:cs="Arial"/>
          <w:b/>
          <w:bCs/>
          <w:sz w:val="28"/>
          <w:szCs w:val="28"/>
        </w:rPr>
        <w:t xml:space="preserve">SMALL STEPS. BIG WINS. </w:t>
      </w:r>
    </w:p>
    <w:p w14:paraId="1163190B" w14:textId="5B1B2A86" w:rsidR="00CA2E1E" w:rsidRDefault="00F0387F">
      <w:r>
        <w:t xml:space="preserve">Category: Multi Touch Campaign </w:t>
      </w:r>
    </w:p>
    <w:p w14:paraId="1936028D" w14:textId="480CA913" w:rsidR="00CA2E1E" w:rsidRDefault="00CA2E1E"/>
    <w:p w14:paraId="09F5BE15" w14:textId="4E097E55" w:rsidR="009B6618" w:rsidRPr="00935614" w:rsidRDefault="009B6618" w:rsidP="00CA2E1E">
      <w:pPr>
        <w:rPr>
          <w:rFonts w:ascii="Arial" w:hAnsi="Arial" w:cs="Arial"/>
          <w:b/>
          <w:bCs/>
          <w:sz w:val="22"/>
          <w:szCs w:val="22"/>
        </w:rPr>
      </w:pPr>
      <w:r w:rsidRPr="00935614">
        <w:rPr>
          <w:rFonts w:ascii="Arial" w:hAnsi="Arial" w:cs="Arial"/>
          <w:b/>
          <w:bCs/>
          <w:sz w:val="22"/>
          <w:szCs w:val="22"/>
        </w:rPr>
        <w:t xml:space="preserve">Content Story: </w:t>
      </w:r>
    </w:p>
    <w:p w14:paraId="5D406269" w14:textId="72223C80" w:rsidR="009B6618" w:rsidRPr="00935614" w:rsidRDefault="009B6618" w:rsidP="00CA2E1E">
      <w:pPr>
        <w:rPr>
          <w:rFonts w:ascii="Arial" w:hAnsi="Arial" w:cs="Arial"/>
          <w:sz w:val="22"/>
          <w:szCs w:val="22"/>
        </w:rPr>
      </w:pPr>
      <w:r w:rsidRPr="00935614">
        <w:rPr>
          <w:rFonts w:ascii="Arial" w:hAnsi="Arial" w:cs="Arial"/>
          <w:sz w:val="22"/>
          <w:szCs w:val="22"/>
        </w:rPr>
        <w:t xml:space="preserve">The SAP Concur Enterprise Field Marketing Team, Content Strategy Team, Demand Generation Team, and </w:t>
      </w:r>
      <w:r w:rsidR="00A454C2">
        <w:rPr>
          <w:rFonts w:ascii="Arial" w:hAnsi="Arial" w:cs="Arial"/>
          <w:sz w:val="22"/>
          <w:szCs w:val="22"/>
        </w:rPr>
        <w:t>Program Management</w:t>
      </w:r>
      <w:r w:rsidRPr="00935614">
        <w:rPr>
          <w:rFonts w:ascii="Arial" w:hAnsi="Arial" w:cs="Arial"/>
          <w:sz w:val="22"/>
          <w:szCs w:val="22"/>
        </w:rPr>
        <w:t xml:space="preserve"> came together in 2022 to develop a campaign around AP automation that would help solve a simple challenge for our prospective customers and cross-sell customers. Amongst business processes, AP and invoicing is still to this day, heavily paper-based which, </w:t>
      </w:r>
      <w:r w:rsidR="00935614" w:rsidRPr="00935614">
        <w:rPr>
          <w:rFonts w:ascii="Arial" w:hAnsi="Arial" w:cs="Arial"/>
          <w:sz w:val="22"/>
          <w:szCs w:val="22"/>
        </w:rPr>
        <w:t>during</w:t>
      </w:r>
      <w:r w:rsidRPr="00935614">
        <w:rPr>
          <w:rFonts w:ascii="Arial" w:hAnsi="Arial" w:cs="Arial"/>
          <w:sz w:val="22"/>
          <w:szCs w:val="22"/>
        </w:rPr>
        <w:t xml:space="preserve"> the pandemic, became painfully clear. Invoices sat on employee’s abandoned desks and remained unpaid with no employees in office to pay them, or redirect them -- causing vendor relationship issues, cash flow issues, and employee frustration. Still, after things eased up a bit, customers and prospects where still oftentimes intimidated to get an AP automation project going – the change management and digital transformation seemed overwhelmin</w:t>
      </w:r>
      <w:r w:rsidR="00737C8B">
        <w:rPr>
          <w:rFonts w:ascii="Arial" w:hAnsi="Arial" w:cs="Arial"/>
          <w:sz w:val="22"/>
          <w:szCs w:val="22"/>
        </w:rPr>
        <w:t>g and daunting to our key targets.</w:t>
      </w:r>
      <w:r w:rsidRPr="00935614">
        <w:rPr>
          <w:rFonts w:ascii="Arial" w:hAnsi="Arial" w:cs="Arial"/>
          <w:sz w:val="22"/>
          <w:szCs w:val="22"/>
        </w:rPr>
        <w:t xml:space="preserve"> Enter the “</w:t>
      </w:r>
      <w:r w:rsidRPr="00935614">
        <w:rPr>
          <w:rFonts w:ascii="Arial" w:hAnsi="Arial" w:cs="Arial"/>
          <w:b/>
          <w:bCs/>
          <w:i/>
          <w:iCs/>
          <w:sz w:val="22"/>
          <w:szCs w:val="22"/>
        </w:rPr>
        <w:t>Small Steps. Big Wins.</w:t>
      </w:r>
      <w:r w:rsidRPr="00935614">
        <w:rPr>
          <w:rFonts w:ascii="Arial" w:hAnsi="Arial" w:cs="Arial"/>
          <w:sz w:val="22"/>
          <w:szCs w:val="22"/>
        </w:rPr>
        <w:t xml:space="preserve">” Campaign! This campaign set out to make the process of shifting AP from transactional to strategic by breaking down the steps and showing customers that SAP Concur solutions could help them make the transformation from paper-based to a fully automated, connected AP/P2P process something that they could transition </w:t>
      </w:r>
      <w:r w:rsidR="00A454C2">
        <w:rPr>
          <w:rFonts w:ascii="Arial" w:hAnsi="Arial" w:cs="Arial"/>
          <w:sz w:val="22"/>
          <w:szCs w:val="22"/>
        </w:rPr>
        <w:t xml:space="preserve">to at their own pace based on where </w:t>
      </w:r>
      <w:r w:rsidR="00331138">
        <w:rPr>
          <w:rFonts w:ascii="Arial" w:hAnsi="Arial" w:cs="Arial"/>
          <w:sz w:val="22"/>
          <w:szCs w:val="22"/>
        </w:rPr>
        <w:t>their biggest pain point was felt.</w:t>
      </w:r>
      <w:r w:rsidRPr="00935614">
        <w:rPr>
          <w:rFonts w:ascii="Arial" w:hAnsi="Arial" w:cs="Arial"/>
          <w:sz w:val="22"/>
          <w:szCs w:val="22"/>
        </w:rPr>
        <w:t xml:space="preserve"> </w:t>
      </w:r>
    </w:p>
    <w:p w14:paraId="2D09F491" w14:textId="71F83A63" w:rsidR="009B6618" w:rsidRPr="00935614" w:rsidRDefault="009B6618" w:rsidP="00CA2E1E">
      <w:pPr>
        <w:rPr>
          <w:rFonts w:ascii="Arial" w:hAnsi="Arial" w:cs="Arial"/>
          <w:sz w:val="22"/>
          <w:szCs w:val="22"/>
        </w:rPr>
      </w:pPr>
    </w:p>
    <w:p w14:paraId="5AE4CE64" w14:textId="34DD501A" w:rsidR="009B6618" w:rsidRPr="00935614" w:rsidRDefault="009B6618" w:rsidP="00CA2E1E">
      <w:pPr>
        <w:rPr>
          <w:rFonts w:ascii="Arial" w:hAnsi="Arial" w:cs="Arial"/>
          <w:sz w:val="22"/>
          <w:szCs w:val="22"/>
        </w:rPr>
      </w:pPr>
      <w:r w:rsidRPr="00935614">
        <w:rPr>
          <w:rFonts w:ascii="Arial" w:hAnsi="Arial" w:cs="Arial"/>
          <w:sz w:val="22"/>
          <w:szCs w:val="22"/>
        </w:rPr>
        <w:t xml:space="preserve">The team worked with their internal content strategy team, </w:t>
      </w:r>
      <w:r w:rsidR="00331138">
        <w:rPr>
          <w:rFonts w:ascii="Arial" w:hAnsi="Arial" w:cs="Arial"/>
          <w:sz w:val="22"/>
          <w:szCs w:val="22"/>
        </w:rPr>
        <w:t>program management,</w:t>
      </w:r>
      <w:r w:rsidR="00100CF4" w:rsidRPr="00935614">
        <w:rPr>
          <w:rFonts w:ascii="Arial" w:hAnsi="Arial" w:cs="Arial"/>
          <w:sz w:val="22"/>
          <w:szCs w:val="22"/>
        </w:rPr>
        <w:t xml:space="preserve"> and demand gen team, </w:t>
      </w:r>
      <w:r w:rsidRPr="00935614">
        <w:rPr>
          <w:rFonts w:ascii="Arial" w:hAnsi="Arial" w:cs="Arial"/>
          <w:sz w:val="22"/>
          <w:szCs w:val="22"/>
        </w:rPr>
        <w:t>along with some valuable vendor partners, to develop a campaign that went from TOFU to BOFU</w:t>
      </w:r>
      <w:r w:rsidR="00100CF4" w:rsidRPr="00935614">
        <w:rPr>
          <w:rFonts w:ascii="Arial" w:hAnsi="Arial" w:cs="Arial"/>
          <w:sz w:val="22"/>
          <w:szCs w:val="22"/>
        </w:rPr>
        <w:t>. Using existing content and rebranding it with a campaign theme, as well as creating some net-new content</w:t>
      </w:r>
      <w:r w:rsidR="003579EB">
        <w:rPr>
          <w:rFonts w:ascii="Arial" w:hAnsi="Arial" w:cs="Arial"/>
          <w:sz w:val="22"/>
          <w:szCs w:val="22"/>
        </w:rPr>
        <w:t xml:space="preserve"> -- t</w:t>
      </w:r>
      <w:r w:rsidR="00282C29">
        <w:rPr>
          <w:rFonts w:ascii="Arial" w:hAnsi="Arial" w:cs="Arial"/>
          <w:sz w:val="22"/>
          <w:szCs w:val="22"/>
        </w:rPr>
        <w:t>hrough multi-touch funnel, acceleration, account based marketing</w:t>
      </w:r>
      <w:r w:rsidR="004777A5">
        <w:rPr>
          <w:rFonts w:ascii="Arial" w:hAnsi="Arial" w:cs="Arial"/>
          <w:sz w:val="22"/>
          <w:szCs w:val="22"/>
        </w:rPr>
        <w:t>,</w:t>
      </w:r>
      <w:r w:rsidR="00282C29">
        <w:rPr>
          <w:rFonts w:ascii="Arial" w:hAnsi="Arial" w:cs="Arial"/>
          <w:sz w:val="22"/>
          <w:szCs w:val="22"/>
        </w:rPr>
        <w:t xml:space="preserve"> and cluster efforts</w:t>
      </w:r>
      <w:r w:rsidR="00100CF4" w:rsidRPr="00935614">
        <w:rPr>
          <w:rFonts w:ascii="Arial" w:hAnsi="Arial" w:cs="Arial"/>
          <w:sz w:val="22"/>
          <w:szCs w:val="22"/>
        </w:rPr>
        <w:t>, the team</w:t>
      </w:r>
      <w:r w:rsidR="00935614">
        <w:rPr>
          <w:rFonts w:ascii="Arial" w:hAnsi="Arial" w:cs="Arial"/>
          <w:sz w:val="22"/>
          <w:szCs w:val="22"/>
        </w:rPr>
        <w:t xml:space="preserve"> </w:t>
      </w:r>
      <w:r w:rsidR="00100CF4" w:rsidRPr="00935614">
        <w:rPr>
          <w:rFonts w:ascii="Arial" w:hAnsi="Arial" w:cs="Arial"/>
          <w:sz w:val="22"/>
          <w:szCs w:val="22"/>
        </w:rPr>
        <w:t>built awareness, accelerated interest, and eventually turned pipeline into closed-won deals</w:t>
      </w:r>
      <w:r w:rsidR="003579EB">
        <w:rPr>
          <w:rFonts w:ascii="Arial" w:hAnsi="Arial" w:cs="Arial"/>
          <w:sz w:val="22"/>
          <w:szCs w:val="22"/>
        </w:rPr>
        <w:t xml:space="preserve"> </w:t>
      </w:r>
      <w:r w:rsidR="002512D2">
        <w:rPr>
          <w:rFonts w:ascii="Arial" w:hAnsi="Arial" w:cs="Arial"/>
          <w:sz w:val="22"/>
          <w:szCs w:val="22"/>
        </w:rPr>
        <w:t xml:space="preserve">while highlighting the value that small changes can make to our customer’s business. </w:t>
      </w:r>
    </w:p>
    <w:p w14:paraId="3B55E352" w14:textId="68FE9FF2" w:rsidR="00100CF4" w:rsidRPr="00935614" w:rsidRDefault="00100CF4" w:rsidP="00CA2E1E">
      <w:pPr>
        <w:rPr>
          <w:rFonts w:ascii="Arial" w:hAnsi="Arial" w:cs="Arial"/>
          <w:sz w:val="22"/>
          <w:szCs w:val="22"/>
        </w:rPr>
      </w:pPr>
    </w:p>
    <w:p w14:paraId="0F0C21EC" w14:textId="5B8B5521" w:rsidR="00100CF4" w:rsidRPr="00935614" w:rsidRDefault="00100CF4" w:rsidP="00CA2E1E">
      <w:pPr>
        <w:rPr>
          <w:rFonts w:ascii="Arial" w:hAnsi="Arial" w:cs="Arial"/>
          <w:sz w:val="22"/>
          <w:szCs w:val="22"/>
        </w:rPr>
      </w:pPr>
      <w:r w:rsidRPr="00935614">
        <w:rPr>
          <w:rFonts w:ascii="Arial" w:hAnsi="Arial" w:cs="Arial"/>
          <w:sz w:val="22"/>
          <w:szCs w:val="22"/>
        </w:rPr>
        <w:t xml:space="preserve">Here are some examples of the content included in the campaign: </w:t>
      </w:r>
    </w:p>
    <w:p w14:paraId="08ACBDAD" w14:textId="77777777" w:rsidR="006A4D40" w:rsidRPr="00935614" w:rsidRDefault="006A4D40" w:rsidP="00CA2E1E">
      <w:pPr>
        <w:rPr>
          <w:rFonts w:ascii="Arial" w:hAnsi="Arial" w:cs="Arial"/>
          <w:sz w:val="22"/>
          <w:szCs w:val="22"/>
        </w:rPr>
      </w:pPr>
    </w:p>
    <w:p w14:paraId="57F40E45" w14:textId="65F546B3" w:rsidR="00CA2E1E" w:rsidRPr="006A4D40" w:rsidRDefault="00CA2E1E" w:rsidP="00CA2E1E">
      <w:pPr>
        <w:rPr>
          <w:rFonts w:ascii="Arial" w:hAnsi="Arial" w:cs="Arial"/>
          <w:b/>
          <w:bCs/>
        </w:rPr>
      </w:pPr>
      <w:r w:rsidRPr="006A4D40">
        <w:rPr>
          <w:rFonts w:ascii="Arial" w:hAnsi="Arial" w:cs="Arial"/>
          <w:b/>
          <w:bCs/>
        </w:rPr>
        <w:t xml:space="preserve">Core Messaging Content: </w:t>
      </w:r>
    </w:p>
    <w:p w14:paraId="132F7E44" w14:textId="77777777" w:rsidR="00CA2E1E" w:rsidRPr="006A4D40" w:rsidRDefault="00CA2E1E" w:rsidP="00CA2E1E">
      <w:pPr>
        <w:pStyle w:val="ListParagraph"/>
        <w:ind w:left="1080"/>
        <w:rPr>
          <w:rFonts w:ascii="Arial" w:hAnsi="Arial" w:cs="Arial"/>
          <w:b/>
          <w:bCs/>
        </w:rPr>
      </w:pPr>
    </w:p>
    <w:p w14:paraId="566F454D" w14:textId="1852085F" w:rsidR="00CA2E1E" w:rsidRDefault="00CA2E1E" w:rsidP="00CA2E1E">
      <w:pPr>
        <w:rPr>
          <w:rFonts w:ascii="Arial" w:hAnsi="Arial" w:cs="Arial"/>
          <w:color w:val="202020"/>
          <w:sz w:val="21"/>
          <w:szCs w:val="21"/>
          <w:shd w:val="clear" w:color="auto" w:fill="F7F7F7"/>
        </w:rPr>
      </w:pPr>
      <w:r w:rsidRPr="006A4D40">
        <w:rPr>
          <w:rFonts w:ascii="Arial" w:hAnsi="Arial" w:cs="Arial"/>
          <w:b/>
          <w:bCs/>
          <w:color w:val="202020"/>
          <w:sz w:val="21"/>
          <w:szCs w:val="21"/>
          <w:shd w:val="clear" w:color="auto" w:fill="F7F7F7"/>
        </w:rPr>
        <w:t>One Pager -</w:t>
      </w:r>
      <w:r w:rsidRPr="00CA2E1E">
        <w:rPr>
          <w:rFonts w:ascii="Arial" w:hAnsi="Arial" w:cs="Arial"/>
        </w:rPr>
        <w:t xml:space="preserve"> </w:t>
      </w:r>
      <w:r w:rsidRPr="00CA2E1E">
        <w:rPr>
          <w:rFonts w:ascii="Arial" w:hAnsi="Arial" w:cs="Arial"/>
          <w:color w:val="202020"/>
          <w:sz w:val="21"/>
          <w:szCs w:val="21"/>
          <w:shd w:val="clear" w:color="auto" w:fill="F7F7F7"/>
        </w:rPr>
        <w:t>The amount of manual effort involved in processing approvals, issuing payments, and paying vendors on time is painful. And while most organizations know they need to automate their AP processes to reduce complexity — they often don’t know where to start. Here is a framework to help.</w:t>
      </w:r>
      <w:r>
        <w:rPr>
          <w:rFonts w:ascii="Arial" w:hAnsi="Arial" w:cs="Arial"/>
          <w:color w:val="202020"/>
          <w:sz w:val="21"/>
          <w:szCs w:val="21"/>
          <w:shd w:val="clear" w:color="auto" w:fill="F7F7F7"/>
        </w:rPr>
        <w:t xml:space="preserve"> </w:t>
      </w:r>
      <w:hyperlink r:id="rId8" w:history="1">
        <w:r w:rsidRPr="00CA2E1E">
          <w:rPr>
            <w:rStyle w:val="Hyperlink"/>
            <w:rFonts w:ascii="Arial" w:hAnsi="Arial" w:cs="Arial"/>
            <w:sz w:val="21"/>
            <w:szCs w:val="21"/>
            <w:shd w:val="clear" w:color="auto" w:fill="F7F7F7"/>
          </w:rPr>
          <w:t>Blog post.</w:t>
        </w:r>
      </w:hyperlink>
      <w:r>
        <w:rPr>
          <w:rFonts w:ascii="Arial" w:hAnsi="Arial" w:cs="Arial"/>
          <w:color w:val="202020"/>
          <w:sz w:val="21"/>
          <w:szCs w:val="21"/>
          <w:shd w:val="clear" w:color="auto" w:fill="F7F7F7"/>
        </w:rPr>
        <w:t xml:space="preserve"> </w:t>
      </w:r>
    </w:p>
    <w:p w14:paraId="1E17F12A" w14:textId="178BAB22" w:rsidR="006A4D40" w:rsidRDefault="006A4D40" w:rsidP="00CA2E1E">
      <w:pPr>
        <w:rPr>
          <w:rFonts w:ascii="Arial" w:hAnsi="Arial" w:cs="Arial"/>
          <w:color w:val="202020"/>
          <w:sz w:val="21"/>
          <w:szCs w:val="21"/>
          <w:shd w:val="clear" w:color="auto" w:fill="F7F7F7"/>
        </w:rPr>
      </w:pPr>
    </w:p>
    <w:p w14:paraId="6430E6C7" w14:textId="187B80FA" w:rsidR="006A4D40" w:rsidRPr="00CA2E1E" w:rsidRDefault="00632D1A" w:rsidP="00CA2E1E">
      <w:pPr>
        <w:rPr>
          <w:rFonts w:ascii="Arial" w:hAnsi="Arial" w:cs="Arial"/>
        </w:rPr>
      </w:pPr>
      <w:hyperlink r:id="rId9" w:history="1">
        <w:r w:rsidR="006A4D40" w:rsidRPr="006A4D40">
          <w:rPr>
            <w:rStyle w:val="Hyperlink"/>
            <w:rFonts w:ascii="Arial" w:hAnsi="Arial" w:cs="Arial"/>
            <w:b/>
            <w:bCs/>
            <w:sz w:val="21"/>
            <w:szCs w:val="21"/>
            <w:shd w:val="clear" w:color="auto" w:fill="F7F7F7"/>
          </w:rPr>
          <w:t>Infographic:</w:t>
        </w:r>
      </w:hyperlink>
      <w:r w:rsidR="006A4D40">
        <w:rPr>
          <w:rFonts w:ascii="Arial" w:hAnsi="Arial" w:cs="Arial"/>
          <w:color w:val="202020"/>
          <w:sz w:val="21"/>
          <w:szCs w:val="21"/>
          <w:shd w:val="clear" w:color="auto" w:fill="F7F7F7"/>
        </w:rPr>
        <w:t xml:space="preserve"> Visual representation of the content contained in the one-pager. Leads to </w:t>
      </w:r>
      <w:hyperlink r:id="rId10" w:history="1">
        <w:r w:rsidR="006A4D40" w:rsidRPr="006A4D40">
          <w:rPr>
            <w:rStyle w:val="Hyperlink"/>
            <w:rFonts w:ascii="Arial" w:hAnsi="Arial" w:cs="Arial"/>
            <w:sz w:val="21"/>
            <w:szCs w:val="21"/>
            <w:shd w:val="clear" w:color="auto" w:fill="F7F7F7"/>
          </w:rPr>
          <w:t>AP Risk Assessment</w:t>
        </w:r>
      </w:hyperlink>
      <w:r w:rsidR="006A4D40">
        <w:rPr>
          <w:rFonts w:ascii="Arial" w:hAnsi="Arial" w:cs="Arial"/>
          <w:color w:val="202020"/>
          <w:sz w:val="21"/>
          <w:szCs w:val="21"/>
          <w:shd w:val="clear" w:color="auto" w:fill="F7F7F7"/>
        </w:rPr>
        <w:t xml:space="preserve"> interactive tool. </w:t>
      </w:r>
    </w:p>
    <w:p w14:paraId="49206CA0" w14:textId="28CDB56E" w:rsidR="00CA2E1E" w:rsidRDefault="00CA2E1E"/>
    <w:p w14:paraId="5E31DB99" w14:textId="12964EF4" w:rsidR="00CA2E1E" w:rsidRDefault="00CA2E1E">
      <w:r>
        <w:rPr>
          <w:noProof/>
        </w:rPr>
        <w:lastRenderedPageBreak/>
        <w:drawing>
          <wp:inline distT="0" distB="0" distL="0" distR="0" wp14:anchorId="529E4DE6" wp14:editId="33ED57BA">
            <wp:extent cx="2478793" cy="350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1283" cy="3551143"/>
                    </a:xfrm>
                    <a:prstGeom prst="rect">
                      <a:avLst/>
                    </a:prstGeom>
                  </pic:spPr>
                </pic:pic>
              </a:graphicData>
            </a:graphic>
          </wp:inline>
        </w:drawing>
      </w:r>
      <w:r w:rsidR="006A4D40">
        <w:rPr>
          <w:noProof/>
        </w:rPr>
        <w:drawing>
          <wp:inline distT="0" distB="0" distL="0" distR="0" wp14:anchorId="259A35AD" wp14:editId="65EEE19C">
            <wp:extent cx="1214290" cy="3495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8503" cy="3709239"/>
                    </a:xfrm>
                    <a:prstGeom prst="rect">
                      <a:avLst/>
                    </a:prstGeom>
                  </pic:spPr>
                </pic:pic>
              </a:graphicData>
            </a:graphic>
          </wp:inline>
        </w:drawing>
      </w:r>
    </w:p>
    <w:p w14:paraId="5612CE2B" w14:textId="77777777" w:rsidR="004777A5" w:rsidRDefault="004777A5">
      <w:pPr>
        <w:rPr>
          <w:rFonts w:ascii="Arial" w:hAnsi="Arial" w:cs="Arial"/>
          <w:b/>
          <w:bCs/>
        </w:rPr>
      </w:pPr>
    </w:p>
    <w:p w14:paraId="6D65C7B9" w14:textId="79E80B9F" w:rsidR="006A4D40" w:rsidRPr="009C2E3C" w:rsidRDefault="009C2E3C">
      <w:pPr>
        <w:rPr>
          <w:rFonts w:ascii="Arial" w:hAnsi="Arial" w:cs="Arial"/>
          <w:b/>
          <w:bCs/>
        </w:rPr>
      </w:pPr>
      <w:r w:rsidRPr="009C2E3C">
        <w:rPr>
          <w:rFonts w:ascii="Arial" w:hAnsi="Arial" w:cs="Arial"/>
          <w:b/>
          <w:bCs/>
        </w:rPr>
        <w:t>TOFU content to set up the business challenge:</w:t>
      </w:r>
    </w:p>
    <w:p w14:paraId="6A145757" w14:textId="53EBBD90" w:rsidR="009C2E3C" w:rsidRPr="009C2E3C" w:rsidRDefault="009C2E3C">
      <w:pPr>
        <w:rPr>
          <w:rFonts w:ascii="Arial" w:hAnsi="Arial" w:cs="Arial"/>
        </w:rPr>
      </w:pPr>
    </w:p>
    <w:p w14:paraId="44CFCD9B" w14:textId="77777777" w:rsidR="00100CF4" w:rsidRDefault="00100CF4">
      <w:pPr>
        <w:rPr>
          <w:rFonts w:ascii="Arial" w:hAnsi="Arial" w:cs="Arial"/>
        </w:rPr>
      </w:pPr>
      <w:r>
        <w:rPr>
          <w:rFonts w:ascii="Arial" w:hAnsi="Arial" w:cs="Arial"/>
        </w:rPr>
        <w:t xml:space="preserve">(Quick Starter) </w:t>
      </w:r>
    </w:p>
    <w:p w14:paraId="2C01EDDF" w14:textId="79ED333A" w:rsidR="009C2E3C" w:rsidRPr="009B6618" w:rsidRDefault="009C2E3C">
      <w:pPr>
        <w:rPr>
          <w:rFonts w:ascii="Arial" w:hAnsi="Arial" w:cs="Arial"/>
        </w:rPr>
      </w:pPr>
      <w:r w:rsidRPr="009C2E3C">
        <w:rPr>
          <w:rFonts w:ascii="Arial" w:hAnsi="Arial" w:cs="Arial"/>
        </w:rPr>
        <w:t xml:space="preserve">Tip Sheet: </w:t>
      </w:r>
      <w:hyperlink r:id="rId13" w:history="1">
        <w:r w:rsidRPr="009B6618">
          <w:rPr>
            <w:rStyle w:val="Hyperlink"/>
            <w:rFonts w:ascii="Arial" w:hAnsi="Arial" w:cs="Arial"/>
          </w:rPr>
          <w:t>The Top 5 AP Pitfalls and How to Avoid Them</w:t>
        </w:r>
      </w:hyperlink>
      <w:r w:rsidRPr="009C2E3C">
        <w:rPr>
          <w:rFonts w:ascii="Arial" w:hAnsi="Arial" w:cs="Arial"/>
        </w:rPr>
        <w:t xml:space="preserve"> – </w:t>
      </w:r>
      <w:r w:rsidR="009B6618" w:rsidRPr="009B6618">
        <w:rPr>
          <w:rFonts w:ascii="Arial" w:hAnsi="Arial" w:cs="Arial"/>
          <w:color w:val="202020"/>
          <w:sz w:val="21"/>
          <w:szCs w:val="21"/>
          <w:shd w:val="clear" w:color="auto" w:fill="F7F7F7"/>
        </w:rPr>
        <w:t>Imagine an accounts payable (AP) department with clean desks, no paper invoices or checks to cut, and regular eight-hour workdays – even during close. We live in a world where nearly everything is digital, yet AP still hasn’t caught up. Read on to learn the top five AP pitfalls holding you back from maximizing your savings and</w:t>
      </w:r>
      <w:r w:rsidR="00183EE4">
        <w:rPr>
          <w:rFonts w:ascii="Arial" w:hAnsi="Arial" w:cs="Arial"/>
          <w:color w:val="202020"/>
          <w:sz w:val="21"/>
          <w:szCs w:val="21"/>
          <w:shd w:val="clear" w:color="auto" w:fill="F7F7F7"/>
        </w:rPr>
        <w:t xml:space="preserve"> </w:t>
      </w:r>
      <w:r w:rsidR="009B6618" w:rsidRPr="009B6618">
        <w:rPr>
          <w:rFonts w:ascii="Arial" w:hAnsi="Arial" w:cs="Arial"/>
          <w:color w:val="202020"/>
          <w:sz w:val="21"/>
          <w:szCs w:val="21"/>
          <w:shd w:val="clear" w:color="auto" w:fill="F7F7F7"/>
        </w:rPr>
        <w:t>optimizing your organization’s cash flow.</w:t>
      </w:r>
    </w:p>
    <w:p w14:paraId="1966D468" w14:textId="0C4D7D85" w:rsidR="009C2E3C" w:rsidRPr="009C2E3C" w:rsidRDefault="009C2E3C">
      <w:pPr>
        <w:rPr>
          <w:rFonts w:ascii="Arial" w:hAnsi="Arial" w:cs="Arial"/>
        </w:rPr>
      </w:pPr>
    </w:p>
    <w:p w14:paraId="21F81B37" w14:textId="2DD3A8F2" w:rsidR="009C2E3C" w:rsidRPr="009C2E3C" w:rsidRDefault="009C2E3C">
      <w:pPr>
        <w:rPr>
          <w:rFonts w:ascii="Arial" w:hAnsi="Arial" w:cs="Arial"/>
          <w:color w:val="202020"/>
          <w:sz w:val="21"/>
          <w:szCs w:val="21"/>
          <w:shd w:val="clear" w:color="auto" w:fill="F7F7F7"/>
        </w:rPr>
      </w:pPr>
      <w:r w:rsidRPr="009C2E3C">
        <w:rPr>
          <w:rFonts w:ascii="Arial" w:hAnsi="Arial" w:cs="Arial"/>
        </w:rPr>
        <w:t xml:space="preserve">Tip Sheet: </w:t>
      </w:r>
      <w:hyperlink r:id="rId14" w:history="1">
        <w:r w:rsidRPr="009C2E3C">
          <w:rPr>
            <w:rStyle w:val="Hyperlink"/>
            <w:rFonts w:ascii="Arial" w:hAnsi="Arial" w:cs="Arial"/>
          </w:rPr>
          <w:t>The Four Costs Hiding in Accounts Payable</w:t>
        </w:r>
      </w:hyperlink>
      <w:r w:rsidRPr="009C2E3C">
        <w:rPr>
          <w:rFonts w:ascii="Arial" w:hAnsi="Arial" w:cs="Arial"/>
        </w:rPr>
        <w:t xml:space="preserve"> - </w:t>
      </w:r>
      <w:r w:rsidRPr="009C2E3C">
        <w:rPr>
          <w:rFonts w:ascii="Arial" w:hAnsi="Arial" w:cs="Arial"/>
          <w:color w:val="202020"/>
          <w:sz w:val="21"/>
          <w:szCs w:val="21"/>
          <w:shd w:val="clear" w:color="auto" w:fill="F7F7F7"/>
        </w:rPr>
        <w:t>How much different can accounts payable (AP) really be? That’s up to you. Your accounts payable (AP) staff shouldn’t have to manually enter data, chase emails, and scan paper. Leverage these tips to see AP differently.</w:t>
      </w:r>
    </w:p>
    <w:p w14:paraId="2C051F29" w14:textId="5B893A2A" w:rsidR="009C2E3C" w:rsidRPr="009C2E3C" w:rsidRDefault="009C2E3C">
      <w:pPr>
        <w:rPr>
          <w:rFonts w:ascii="Arial" w:hAnsi="Arial" w:cs="Arial"/>
          <w:color w:val="202020"/>
          <w:sz w:val="21"/>
          <w:szCs w:val="21"/>
          <w:shd w:val="clear" w:color="auto" w:fill="F7F7F7"/>
        </w:rPr>
      </w:pPr>
    </w:p>
    <w:p w14:paraId="3A894808" w14:textId="156D5DB0" w:rsidR="009C2E3C" w:rsidRPr="009C2E3C" w:rsidRDefault="009C2E3C">
      <w:pPr>
        <w:rPr>
          <w:rFonts w:ascii="Arial" w:hAnsi="Arial" w:cs="Arial"/>
        </w:rPr>
      </w:pPr>
      <w:r w:rsidRPr="009C2E3C">
        <w:rPr>
          <w:rFonts w:ascii="Arial" w:hAnsi="Arial" w:cs="Arial"/>
          <w:color w:val="202020"/>
          <w:sz w:val="21"/>
          <w:szCs w:val="21"/>
          <w:shd w:val="clear" w:color="auto" w:fill="F7F7F7"/>
        </w:rPr>
        <w:t xml:space="preserve">EBook: </w:t>
      </w:r>
      <w:hyperlink r:id="rId15" w:history="1">
        <w:r w:rsidRPr="009C2E3C">
          <w:rPr>
            <w:rStyle w:val="Hyperlink"/>
            <w:rFonts w:ascii="Arial" w:hAnsi="Arial" w:cs="Arial"/>
            <w:sz w:val="21"/>
            <w:szCs w:val="21"/>
            <w:shd w:val="clear" w:color="auto" w:fill="F7F7F7"/>
          </w:rPr>
          <w:t>8 Questions to Ask About Your AP System</w:t>
        </w:r>
      </w:hyperlink>
      <w:r>
        <w:rPr>
          <w:rFonts w:ascii="Arial" w:hAnsi="Arial" w:cs="Arial"/>
          <w:color w:val="202020"/>
          <w:sz w:val="21"/>
          <w:szCs w:val="21"/>
          <w:shd w:val="clear" w:color="auto" w:fill="F7F7F7"/>
        </w:rPr>
        <w:t xml:space="preserve"> - </w:t>
      </w:r>
      <w:r w:rsidRPr="009C2E3C">
        <w:rPr>
          <w:rFonts w:ascii="Arial" w:hAnsi="Arial" w:cs="Arial"/>
          <w:color w:val="333333"/>
          <w:sz w:val="22"/>
          <w:szCs w:val="22"/>
          <w:shd w:val="clear" w:color="auto" w:fill="FFFFFF"/>
        </w:rPr>
        <w:t>Choosing the right AP system can feel overwhelming. There are a lot of cloud vendors out there, how do you figure out which to consider and how do you compare the differences? This eBook highlights eight questions that you should ask about your organization‘s AP system. Once you ask yourself the answers to these questions, it will be easier to decide which software vendors align with your organization‘s business outcomes.</w:t>
      </w:r>
    </w:p>
    <w:p w14:paraId="088BFB8C" w14:textId="7D3DDA09" w:rsidR="006A4D40" w:rsidRDefault="006A4D40"/>
    <w:p w14:paraId="48E2839B" w14:textId="49FCAAC1" w:rsidR="006A4D40" w:rsidRDefault="009C2E3C">
      <w:r>
        <w:rPr>
          <w:noProof/>
        </w:rPr>
        <w:drawing>
          <wp:inline distT="0" distB="0" distL="0" distR="0" wp14:anchorId="2079E79D" wp14:editId="15D2CD75">
            <wp:extent cx="1921933" cy="2466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1673" cy="2504439"/>
                    </a:xfrm>
                    <a:prstGeom prst="rect">
                      <a:avLst/>
                    </a:prstGeom>
                  </pic:spPr>
                </pic:pic>
              </a:graphicData>
            </a:graphic>
          </wp:inline>
        </w:drawing>
      </w:r>
      <w:r>
        <w:rPr>
          <w:noProof/>
        </w:rPr>
        <w:drawing>
          <wp:inline distT="0" distB="0" distL="0" distR="0" wp14:anchorId="7D2F99C8" wp14:editId="0E10377A">
            <wp:extent cx="1920028" cy="24935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560" cy="2533229"/>
                    </a:xfrm>
                    <a:prstGeom prst="rect">
                      <a:avLst/>
                    </a:prstGeom>
                  </pic:spPr>
                </pic:pic>
              </a:graphicData>
            </a:graphic>
          </wp:inline>
        </w:drawing>
      </w:r>
    </w:p>
    <w:p w14:paraId="69401D8F" w14:textId="35EBE44A" w:rsidR="00CA2E1E" w:rsidRDefault="009C2E3C">
      <w:r>
        <w:rPr>
          <w:noProof/>
        </w:rPr>
        <w:drawing>
          <wp:inline distT="0" distB="0" distL="0" distR="0" wp14:anchorId="504C82D0" wp14:editId="7CE66593">
            <wp:extent cx="3793067" cy="177820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6893" cy="1803437"/>
                    </a:xfrm>
                    <a:prstGeom prst="rect">
                      <a:avLst/>
                    </a:prstGeom>
                  </pic:spPr>
                </pic:pic>
              </a:graphicData>
            </a:graphic>
          </wp:inline>
        </w:drawing>
      </w:r>
    </w:p>
    <w:p w14:paraId="35A1CA7E" w14:textId="1275BAD4" w:rsidR="00C46616" w:rsidRDefault="00C46616"/>
    <w:p w14:paraId="498D2038" w14:textId="40BDDE4B" w:rsidR="00C46616" w:rsidRPr="00183EE4" w:rsidRDefault="00183EE4">
      <w:pPr>
        <w:rPr>
          <w:rFonts w:ascii="Arial" w:hAnsi="Arial" w:cs="Arial"/>
        </w:rPr>
      </w:pPr>
      <w:r w:rsidRPr="00183EE4">
        <w:rPr>
          <w:rFonts w:ascii="Arial" w:hAnsi="Arial" w:cs="Arial"/>
        </w:rPr>
        <w:t>(Accelerator/Booster)</w:t>
      </w:r>
    </w:p>
    <w:p w14:paraId="3F3CDF74" w14:textId="32BB5B70" w:rsidR="00183EE4" w:rsidRDefault="00183EE4">
      <w:pPr>
        <w:rPr>
          <w:rFonts w:ascii="Arial" w:hAnsi="Arial" w:cs="Arial"/>
          <w:color w:val="202020"/>
          <w:sz w:val="21"/>
          <w:szCs w:val="21"/>
          <w:shd w:val="clear" w:color="auto" w:fill="F7F7F7"/>
        </w:rPr>
      </w:pPr>
      <w:r w:rsidRPr="00183EE4">
        <w:rPr>
          <w:rFonts w:ascii="Arial" w:hAnsi="Arial" w:cs="Arial"/>
          <w:color w:val="202020"/>
          <w:sz w:val="21"/>
          <w:szCs w:val="21"/>
          <w:shd w:val="clear" w:color="auto" w:fill="F7F7F7"/>
        </w:rPr>
        <w:t xml:space="preserve">Tip Sheet: </w:t>
      </w:r>
      <w:hyperlink r:id="rId19" w:history="1">
        <w:r w:rsidRPr="00183EE4">
          <w:rPr>
            <w:rStyle w:val="Hyperlink"/>
            <w:rFonts w:ascii="Arial" w:hAnsi="Arial" w:cs="Arial"/>
            <w:sz w:val="21"/>
            <w:szCs w:val="21"/>
            <w:shd w:val="clear" w:color="auto" w:fill="F7F7F7"/>
          </w:rPr>
          <w:t>8 Tips to Boost Employee Purchasing Power</w:t>
        </w:r>
      </w:hyperlink>
      <w:r w:rsidRPr="00183EE4">
        <w:rPr>
          <w:rFonts w:ascii="Arial" w:hAnsi="Arial" w:cs="Arial"/>
          <w:color w:val="202020"/>
          <w:sz w:val="21"/>
          <w:szCs w:val="21"/>
          <w:shd w:val="clear" w:color="auto" w:fill="F7F7F7"/>
        </w:rPr>
        <w:t xml:space="preserve"> - If your organization has employees who are new to making business purchases, they may not know how to maximize your supplier relationships or make the most cost-effective buying decisions. To help your organization succeed, here are eight tips for demystifying the purchasing process.</w:t>
      </w:r>
    </w:p>
    <w:p w14:paraId="58AFA9CF" w14:textId="26F47DCF" w:rsidR="00183EE4" w:rsidRDefault="00BD038F">
      <w:pPr>
        <w:rPr>
          <w:rFonts w:ascii="Arial" w:hAnsi="Arial" w:cs="Arial"/>
          <w:color w:val="202020"/>
          <w:sz w:val="21"/>
          <w:szCs w:val="21"/>
          <w:shd w:val="clear" w:color="auto" w:fill="F7F7F7"/>
        </w:rPr>
      </w:pPr>
      <w:r w:rsidRPr="0091095A">
        <w:rPr>
          <w:noProof/>
        </w:rPr>
        <w:drawing>
          <wp:inline distT="0" distB="0" distL="0" distR="0" wp14:anchorId="0C8B26A0" wp14:editId="515572FC">
            <wp:extent cx="2260120" cy="2914976"/>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1203" cy="2955064"/>
                    </a:xfrm>
                    <a:prstGeom prst="rect">
                      <a:avLst/>
                    </a:prstGeom>
                  </pic:spPr>
                </pic:pic>
              </a:graphicData>
            </a:graphic>
          </wp:inline>
        </w:drawing>
      </w:r>
    </w:p>
    <w:p w14:paraId="663C0021" w14:textId="6E363CE0" w:rsidR="00183EE4" w:rsidRDefault="00183EE4">
      <w:pPr>
        <w:rPr>
          <w:rFonts w:ascii="Arial" w:hAnsi="Arial" w:cs="Arial"/>
          <w:color w:val="202020"/>
          <w:sz w:val="21"/>
          <w:szCs w:val="21"/>
          <w:shd w:val="clear" w:color="auto" w:fill="F7F7F7"/>
        </w:rPr>
      </w:pPr>
      <w:r>
        <w:rPr>
          <w:rFonts w:ascii="Arial" w:hAnsi="Arial" w:cs="Arial"/>
          <w:color w:val="202020"/>
          <w:sz w:val="21"/>
          <w:szCs w:val="21"/>
          <w:shd w:val="clear" w:color="auto" w:fill="F7F7F7"/>
        </w:rPr>
        <w:t xml:space="preserve">Blog Article: </w:t>
      </w:r>
      <w:hyperlink r:id="rId21" w:history="1">
        <w:r w:rsidRPr="00183EE4">
          <w:rPr>
            <w:rStyle w:val="Hyperlink"/>
            <w:rFonts w:ascii="Arial" w:hAnsi="Arial" w:cs="Arial"/>
            <w:sz w:val="21"/>
            <w:szCs w:val="21"/>
            <w:shd w:val="clear" w:color="auto" w:fill="F7F7F7"/>
          </w:rPr>
          <w:t>5 Steps to Supercharge Your Organization’s Purchasing Power</w:t>
        </w:r>
      </w:hyperlink>
    </w:p>
    <w:p w14:paraId="79DEAFE5" w14:textId="09F22119" w:rsidR="00183EE4" w:rsidRDefault="00183EE4">
      <w:pPr>
        <w:rPr>
          <w:rFonts w:ascii="Arial" w:hAnsi="Arial" w:cs="Arial"/>
          <w:color w:val="202020"/>
          <w:sz w:val="21"/>
          <w:szCs w:val="21"/>
          <w:shd w:val="clear" w:color="auto" w:fill="F7F7F7"/>
        </w:rPr>
      </w:pPr>
    </w:p>
    <w:p w14:paraId="52FDA2AD" w14:textId="1905431B" w:rsidR="00183EE4" w:rsidRDefault="00183EE4" w:rsidP="00183EE4">
      <w:pPr>
        <w:rPr>
          <w:rFonts w:ascii="Arial" w:hAnsi="Arial" w:cs="Arial"/>
          <w:color w:val="202020"/>
          <w:sz w:val="21"/>
          <w:szCs w:val="21"/>
          <w:shd w:val="clear" w:color="auto" w:fill="F7F7F7"/>
        </w:rPr>
      </w:pPr>
      <w:r>
        <w:rPr>
          <w:rFonts w:ascii="Arial" w:hAnsi="Arial" w:cs="Arial"/>
          <w:color w:val="202020"/>
          <w:sz w:val="21"/>
          <w:szCs w:val="21"/>
          <w:shd w:val="clear" w:color="auto" w:fill="F7F7F7"/>
        </w:rPr>
        <w:t>Direct Mail Kit</w:t>
      </w:r>
    </w:p>
    <w:p w14:paraId="405C5A21" w14:textId="0E1D288F" w:rsidR="00183EE4" w:rsidRDefault="00183EE4">
      <w:pPr>
        <w:rPr>
          <w:rFonts w:ascii="Arial" w:hAnsi="Arial" w:cs="Arial"/>
          <w:color w:val="202020"/>
          <w:sz w:val="21"/>
          <w:szCs w:val="21"/>
          <w:shd w:val="clear" w:color="auto" w:fill="F7F7F7"/>
        </w:rPr>
      </w:pPr>
    </w:p>
    <w:p w14:paraId="7D04D8E9" w14:textId="4D4AC5D1" w:rsidR="00C067C5" w:rsidRDefault="00BD038F">
      <w:r>
        <w:rPr>
          <w:rFonts w:ascii="Arial" w:hAnsi="Arial" w:cs="Arial"/>
          <w:noProof/>
          <w:color w:val="202020"/>
          <w:sz w:val="21"/>
          <w:szCs w:val="21"/>
          <w:shd w:val="clear" w:color="auto" w:fill="F7F7F7"/>
        </w:rPr>
        <w:drawing>
          <wp:inline distT="0" distB="0" distL="0" distR="0" wp14:anchorId="520EEE4A" wp14:editId="74B32467">
            <wp:extent cx="3132667" cy="2349500"/>
            <wp:effectExtent l="0" t="2222" r="2222" b="222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145851" cy="2359388"/>
                    </a:xfrm>
                    <a:prstGeom prst="rect">
                      <a:avLst/>
                    </a:prstGeom>
                  </pic:spPr>
                </pic:pic>
              </a:graphicData>
            </a:graphic>
          </wp:inline>
        </w:drawing>
      </w:r>
      <w:r>
        <w:rPr>
          <w:rFonts w:ascii="Arial" w:hAnsi="Arial" w:cs="Arial"/>
          <w:noProof/>
          <w:color w:val="202020"/>
          <w:sz w:val="21"/>
          <w:szCs w:val="21"/>
          <w:shd w:val="clear" w:color="auto" w:fill="F7F7F7"/>
        </w:rPr>
        <w:drawing>
          <wp:inline distT="0" distB="0" distL="0" distR="0" wp14:anchorId="78541713" wp14:editId="4D063155">
            <wp:extent cx="2263757" cy="15413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3757" cy="1541338"/>
                    </a:xfrm>
                    <a:prstGeom prst="rect">
                      <a:avLst/>
                    </a:prstGeom>
                  </pic:spPr>
                </pic:pic>
              </a:graphicData>
            </a:graphic>
          </wp:inline>
        </w:drawing>
      </w:r>
      <w:r>
        <w:rPr>
          <w:rFonts w:ascii="Arial" w:hAnsi="Arial" w:cs="Arial"/>
          <w:noProof/>
          <w:color w:val="202020"/>
          <w:sz w:val="21"/>
          <w:szCs w:val="21"/>
          <w:shd w:val="clear" w:color="auto" w:fill="F7F7F7"/>
        </w:rPr>
        <w:drawing>
          <wp:inline distT="0" distB="0" distL="0" distR="0" wp14:anchorId="3979F0F9" wp14:editId="161E5235">
            <wp:extent cx="1851579" cy="1331119"/>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2747" cy="1375094"/>
                    </a:xfrm>
                    <a:prstGeom prst="rect">
                      <a:avLst/>
                    </a:prstGeom>
                  </pic:spPr>
                </pic:pic>
              </a:graphicData>
            </a:graphic>
          </wp:inline>
        </w:drawing>
      </w:r>
      <w:r>
        <w:rPr>
          <w:rFonts w:ascii="Arial" w:hAnsi="Arial" w:cs="Arial"/>
          <w:noProof/>
          <w:color w:val="202020"/>
          <w:sz w:val="21"/>
          <w:szCs w:val="21"/>
          <w:shd w:val="clear" w:color="auto" w:fill="F7F7F7"/>
        </w:rPr>
        <w:drawing>
          <wp:inline distT="0" distB="0" distL="0" distR="0" wp14:anchorId="4CA7A893" wp14:editId="5595EB6B">
            <wp:extent cx="5943600" cy="1444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444625"/>
                    </a:xfrm>
                    <a:prstGeom prst="rect">
                      <a:avLst/>
                    </a:prstGeom>
                  </pic:spPr>
                </pic:pic>
              </a:graphicData>
            </a:graphic>
          </wp:inline>
        </w:drawing>
      </w:r>
    </w:p>
    <w:p w14:paraId="4893BC8A" w14:textId="11C4446B" w:rsidR="00C067C5" w:rsidRPr="00C067C5" w:rsidRDefault="00C067C5">
      <w:pPr>
        <w:rPr>
          <w:rFonts w:ascii="Arial" w:hAnsi="Arial" w:cs="Arial"/>
        </w:rPr>
      </w:pPr>
      <w:r w:rsidRPr="00C067C5">
        <w:rPr>
          <w:rFonts w:ascii="Arial" w:hAnsi="Arial" w:cs="Arial"/>
        </w:rPr>
        <w:t>Email and Digital</w:t>
      </w:r>
    </w:p>
    <w:p w14:paraId="71556436" w14:textId="0E116B37" w:rsidR="00183EE4" w:rsidRDefault="00EE7E4D">
      <w:r>
        <w:rPr>
          <w:noProof/>
        </w:rPr>
        <w:drawing>
          <wp:inline distT="0" distB="0" distL="0" distR="0" wp14:anchorId="747F96B1" wp14:editId="43DB2236">
            <wp:extent cx="2336800" cy="261766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8196" cy="2619229"/>
                    </a:xfrm>
                    <a:prstGeom prst="rect">
                      <a:avLst/>
                    </a:prstGeom>
                  </pic:spPr>
                </pic:pic>
              </a:graphicData>
            </a:graphic>
          </wp:inline>
        </w:drawing>
      </w:r>
      <w:r>
        <w:rPr>
          <w:noProof/>
        </w:rPr>
        <w:drawing>
          <wp:inline distT="0" distB="0" distL="0" distR="0" wp14:anchorId="139B5937" wp14:editId="584470DC">
            <wp:extent cx="2381250" cy="24836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98340" cy="2501437"/>
                    </a:xfrm>
                    <a:prstGeom prst="rect">
                      <a:avLst/>
                    </a:prstGeom>
                  </pic:spPr>
                </pic:pic>
              </a:graphicData>
            </a:graphic>
          </wp:inline>
        </w:drawing>
      </w:r>
      <w:r w:rsidR="000A211B">
        <w:t> </w:t>
      </w:r>
      <w:r w:rsidR="000A211B">
        <w:rPr>
          <w:rFonts w:ascii="Arial" w:hAnsi="Arial" w:cs="Arial"/>
          <w:noProof/>
          <w:color w:val="202020"/>
          <w:sz w:val="21"/>
          <w:szCs w:val="21"/>
          <w:shd w:val="clear" w:color="auto" w:fill="F7F7F7"/>
        </w:rPr>
        <w:drawing>
          <wp:inline distT="0" distB="0" distL="0" distR="0" wp14:anchorId="5A88A37F" wp14:editId="0476BB76">
            <wp:extent cx="1409700"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1181100"/>
                    </a:xfrm>
                    <a:prstGeom prst="rect">
                      <a:avLst/>
                    </a:prstGeom>
                    <a:noFill/>
                    <a:ln>
                      <a:noFill/>
                    </a:ln>
                  </pic:spPr>
                </pic:pic>
              </a:graphicData>
            </a:graphic>
          </wp:inline>
        </w:drawing>
      </w:r>
    </w:p>
    <w:p w14:paraId="41E8AB1F" w14:textId="15F9AA9E" w:rsidR="000A211B" w:rsidRDefault="000A211B"/>
    <w:p w14:paraId="26132786" w14:textId="77777777" w:rsidR="000A211B" w:rsidRPr="00183EE4" w:rsidRDefault="000A211B">
      <w:pPr>
        <w:rPr>
          <w:rFonts w:ascii="Arial" w:hAnsi="Arial" w:cs="Arial"/>
          <w:color w:val="202020"/>
          <w:sz w:val="21"/>
          <w:szCs w:val="21"/>
          <w:shd w:val="clear" w:color="auto" w:fill="F7F7F7"/>
        </w:rPr>
      </w:pPr>
    </w:p>
    <w:p w14:paraId="35A1283F" w14:textId="0F75B5B5" w:rsidR="00100CF4" w:rsidRPr="000A211B" w:rsidRDefault="000A211B">
      <w:pPr>
        <w:rPr>
          <w:b/>
          <w:bCs/>
        </w:rPr>
      </w:pPr>
      <w:r w:rsidRPr="000A211B">
        <w:rPr>
          <w:b/>
          <w:bCs/>
        </w:rPr>
        <w:t>Key KPI:</w:t>
      </w:r>
    </w:p>
    <w:p w14:paraId="31C89B80" w14:textId="587BD466" w:rsidR="000A211B" w:rsidRDefault="000A211B">
      <w:r>
        <w:t>Digital ads had an ROI of 9,470% and CTR improvement of 325%</w:t>
      </w:r>
    </w:p>
    <w:p w14:paraId="219039C7" w14:textId="330B9028" w:rsidR="00737C8B" w:rsidRDefault="00737C8B">
      <w:r>
        <w:t>Targeted Accounts with our digital strategy were 2.62x more likely to convert on our website</w:t>
      </w:r>
    </w:p>
    <w:p w14:paraId="7922A81C" w14:textId="3128C529" w:rsidR="008E394B" w:rsidRDefault="008E394B">
      <w:r>
        <w:t>Collected over 1,300 new leads globally from our efforts</w:t>
      </w:r>
    </w:p>
    <w:p w14:paraId="04208EB0" w14:textId="7A090AA4" w:rsidR="00F0387F" w:rsidRDefault="00F0387F">
      <w:r>
        <w:t xml:space="preserve">Over 4,700 campaign </w:t>
      </w:r>
      <w:r w:rsidR="008B4CBA">
        <w:t>engagements</w:t>
      </w:r>
    </w:p>
    <w:p w14:paraId="647F3A78" w14:textId="27B9D818" w:rsidR="008E394B" w:rsidRDefault="008E394B">
      <w:r>
        <w:t>Over $3.3million in direct campaign pipeline</w:t>
      </w:r>
    </w:p>
    <w:p w14:paraId="1FA3D0C9" w14:textId="6CE504A8" w:rsidR="008E394B" w:rsidRDefault="00F0387F">
      <w:r>
        <w:t>Created and executed over 43</w:t>
      </w:r>
      <w:r w:rsidR="008B4CBA">
        <w:t xml:space="preserve"> campaign tactics</w:t>
      </w:r>
      <w:r w:rsidR="00CA42AF">
        <w:t xml:space="preserve"> in 2022 for this effort</w:t>
      </w:r>
    </w:p>
    <w:p w14:paraId="3F7B4D34" w14:textId="77777777" w:rsidR="000A211B" w:rsidRDefault="000A211B"/>
    <w:p w14:paraId="34749524" w14:textId="77777777" w:rsidR="00935614" w:rsidRPr="00935614" w:rsidRDefault="00935614" w:rsidP="00935614">
      <w:pPr>
        <w:rPr>
          <w:rFonts w:ascii="Arial" w:hAnsi="Arial" w:cs="Arial"/>
          <w:b/>
          <w:bCs/>
          <w:sz w:val="22"/>
          <w:szCs w:val="22"/>
        </w:rPr>
      </w:pPr>
      <w:r w:rsidRPr="00935614">
        <w:rPr>
          <w:rFonts w:ascii="Arial" w:hAnsi="Arial" w:cs="Arial"/>
          <w:b/>
          <w:bCs/>
          <w:sz w:val="22"/>
          <w:szCs w:val="22"/>
        </w:rPr>
        <w:t>Agency Partners:</w:t>
      </w:r>
    </w:p>
    <w:p w14:paraId="778A62FC" w14:textId="77777777" w:rsidR="00935614" w:rsidRPr="00935614" w:rsidRDefault="00935614" w:rsidP="00935614">
      <w:pPr>
        <w:rPr>
          <w:rFonts w:ascii="Arial" w:hAnsi="Arial" w:cs="Arial"/>
          <w:sz w:val="22"/>
          <w:szCs w:val="22"/>
        </w:rPr>
      </w:pPr>
      <w:r w:rsidRPr="00935614">
        <w:rPr>
          <w:rFonts w:ascii="Arial" w:hAnsi="Arial" w:cs="Arial"/>
          <w:sz w:val="22"/>
          <w:szCs w:val="22"/>
        </w:rPr>
        <w:t>Content 4 Demand – messaging pillars, badge branding, infographic, blog post</w:t>
      </w:r>
    </w:p>
    <w:p w14:paraId="130466BE" w14:textId="0FA0A001" w:rsidR="00935614" w:rsidRPr="00935614" w:rsidRDefault="00935614" w:rsidP="00935614">
      <w:pPr>
        <w:rPr>
          <w:rFonts w:ascii="Arial" w:hAnsi="Arial" w:cs="Arial"/>
          <w:sz w:val="22"/>
          <w:szCs w:val="22"/>
        </w:rPr>
      </w:pPr>
      <w:r w:rsidRPr="00935614">
        <w:rPr>
          <w:rFonts w:ascii="Arial" w:hAnsi="Arial" w:cs="Arial"/>
          <w:sz w:val="22"/>
          <w:szCs w:val="22"/>
        </w:rPr>
        <w:t xml:space="preserve">VLG: Interactive experience </w:t>
      </w:r>
      <w:r w:rsidR="00EE7E4D">
        <w:rPr>
          <w:rFonts w:ascii="Arial" w:hAnsi="Arial" w:cs="Arial"/>
          <w:sz w:val="22"/>
          <w:szCs w:val="22"/>
        </w:rPr>
        <w:t>and personalized outreach</w:t>
      </w:r>
    </w:p>
    <w:p w14:paraId="2DF50AC3" w14:textId="5DA60E72" w:rsidR="00100CF4" w:rsidRDefault="00935614">
      <w:pPr>
        <w:rPr>
          <w:rFonts w:ascii="Arial" w:hAnsi="Arial" w:cs="Arial"/>
          <w:sz w:val="22"/>
          <w:szCs w:val="22"/>
        </w:rPr>
      </w:pPr>
      <w:r w:rsidRPr="00935614">
        <w:rPr>
          <w:rFonts w:ascii="Arial" w:hAnsi="Arial" w:cs="Arial"/>
          <w:sz w:val="22"/>
          <w:szCs w:val="22"/>
        </w:rPr>
        <w:t>PFL: Direct mail gift procurement, printing, and fulfillment</w:t>
      </w:r>
    </w:p>
    <w:p w14:paraId="468502EE" w14:textId="74804A75" w:rsidR="00737C8B" w:rsidRPr="00935614" w:rsidRDefault="00737C8B">
      <w:pPr>
        <w:rPr>
          <w:rFonts w:ascii="Arial" w:hAnsi="Arial" w:cs="Arial"/>
          <w:sz w:val="22"/>
          <w:szCs w:val="22"/>
        </w:rPr>
      </w:pPr>
      <w:r>
        <w:rPr>
          <w:rFonts w:ascii="Arial" w:hAnsi="Arial" w:cs="Arial"/>
          <w:sz w:val="22"/>
          <w:szCs w:val="22"/>
        </w:rPr>
        <w:t>DemandBase – Vendor selected for account digital targeting efforts</w:t>
      </w:r>
    </w:p>
    <w:sectPr w:rsidR="00737C8B" w:rsidRPr="009356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2A09E" w14:textId="77777777" w:rsidR="00B112C6" w:rsidRDefault="00B112C6" w:rsidP="008B4CBA">
      <w:r>
        <w:separator/>
      </w:r>
    </w:p>
  </w:endnote>
  <w:endnote w:type="continuationSeparator" w:id="0">
    <w:p w14:paraId="4E635B75" w14:textId="77777777" w:rsidR="00B112C6" w:rsidRDefault="00B112C6" w:rsidP="008B4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A1B24" w14:textId="77777777" w:rsidR="00B112C6" w:rsidRDefault="00B112C6" w:rsidP="008B4CBA">
      <w:r>
        <w:separator/>
      </w:r>
    </w:p>
  </w:footnote>
  <w:footnote w:type="continuationSeparator" w:id="0">
    <w:p w14:paraId="1A7FD5DF" w14:textId="77777777" w:rsidR="00B112C6" w:rsidRDefault="00B112C6" w:rsidP="008B4C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65778"/>
    <w:multiLevelType w:val="hybridMultilevel"/>
    <w:tmpl w:val="0BF4F08A"/>
    <w:lvl w:ilvl="0" w:tplc="6D4EE5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361589"/>
    <w:multiLevelType w:val="hybridMultilevel"/>
    <w:tmpl w:val="83C0B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E1E"/>
    <w:rsid w:val="000A211B"/>
    <w:rsid w:val="00100CF4"/>
    <w:rsid w:val="00183EE4"/>
    <w:rsid w:val="002466E0"/>
    <w:rsid w:val="002512D2"/>
    <w:rsid w:val="00282C29"/>
    <w:rsid w:val="00331138"/>
    <w:rsid w:val="00351529"/>
    <w:rsid w:val="003579EB"/>
    <w:rsid w:val="004777A5"/>
    <w:rsid w:val="006003FA"/>
    <w:rsid w:val="00632D1A"/>
    <w:rsid w:val="006A4D40"/>
    <w:rsid w:val="00737C8B"/>
    <w:rsid w:val="00843276"/>
    <w:rsid w:val="008B4CBA"/>
    <w:rsid w:val="008E394B"/>
    <w:rsid w:val="009059DF"/>
    <w:rsid w:val="00935614"/>
    <w:rsid w:val="009B6618"/>
    <w:rsid w:val="009C2E3C"/>
    <w:rsid w:val="00A03897"/>
    <w:rsid w:val="00A265D3"/>
    <w:rsid w:val="00A454C2"/>
    <w:rsid w:val="00A62071"/>
    <w:rsid w:val="00B112C6"/>
    <w:rsid w:val="00B50FBB"/>
    <w:rsid w:val="00BD038F"/>
    <w:rsid w:val="00C067C5"/>
    <w:rsid w:val="00C46616"/>
    <w:rsid w:val="00CA2E1E"/>
    <w:rsid w:val="00CA42AF"/>
    <w:rsid w:val="00E452D5"/>
    <w:rsid w:val="00EE7E4D"/>
    <w:rsid w:val="00F03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A23BE"/>
  <w15:chartTrackingRefBased/>
  <w15:docId w15:val="{4889F59F-0719-8045-AFA3-90943A787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E1E"/>
    <w:pPr>
      <w:ind w:left="720"/>
      <w:contextualSpacing/>
    </w:pPr>
  </w:style>
  <w:style w:type="character" w:styleId="Hyperlink">
    <w:name w:val="Hyperlink"/>
    <w:basedOn w:val="DefaultParagraphFont"/>
    <w:uiPriority w:val="99"/>
    <w:unhideWhenUsed/>
    <w:rsid w:val="00CA2E1E"/>
    <w:rPr>
      <w:color w:val="0563C1" w:themeColor="hyperlink"/>
      <w:u w:val="single"/>
    </w:rPr>
  </w:style>
  <w:style w:type="character" w:styleId="UnresolvedMention">
    <w:name w:val="Unresolved Mention"/>
    <w:basedOn w:val="DefaultParagraphFont"/>
    <w:uiPriority w:val="99"/>
    <w:semiHidden/>
    <w:unhideWhenUsed/>
    <w:rsid w:val="00CA2E1E"/>
    <w:rPr>
      <w:color w:val="605E5C"/>
      <w:shd w:val="clear" w:color="auto" w:fill="E1DFDD"/>
    </w:rPr>
  </w:style>
  <w:style w:type="character" w:styleId="CommentReference">
    <w:name w:val="annotation reference"/>
    <w:basedOn w:val="DefaultParagraphFont"/>
    <w:uiPriority w:val="99"/>
    <w:semiHidden/>
    <w:unhideWhenUsed/>
    <w:rsid w:val="00EE7E4D"/>
    <w:rPr>
      <w:sz w:val="16"/>
      <w:szCs w:val="16"/>
    </w:rPr>
  </w:style>
  <w:style w:type="paragraph" w:styleId="CommentText">
    <w:name w:val="annotation text"/>
    <w:basedOn w:val="Normal"/>
    <w:link w:val="CommentTextChar"/>
    <w:uiPriority w:val="99"/>
    <w:semiHidden/>
    <w:unhideWhenUsed/>
    <w:rsid w:val="00EE7E4D"/>
    <w:rPr>
      <w:sz w:val="20"/>
      <w:szCs w:val="20"/>
    </w:rPr>
  </w:style>
  <w:style w:type="character" w:customStyle="1" w:styleId="CommentTextChar">
    <w:name w:val="Comment Text Char"/>
    <w:basedOn w:val="DefaultParagraphFont"/>
    <w:link w:val="CommentText"/>
    <w:uiPriority w:val="99"/>
    <w:semiHidden/>
    <w:rsid w:val="00EE7E4D"/>
    <w:rPr>
      <w:sz w:val="20"/>
      <w:szCs w:val="20"/>
    </w:rPr>
  </w:style>
  <w:style w:type="paragraph" w:styleId="CommentSubject">
    <w:name w:val="annotation subject"/>
    <w:basedOn w:val="CommentText"/>
    <w:next w:val="CommentText"/>
    <w:link w:val="CommentSubjectChar"/>
    <w:uiPriority w:val="99"/>
    <w:semiHidden/>
    <w:unhideWhenUsed/>
    <w:rsid w:val="00EE7E4D"/>
    <w:rPr>
      <w:b/>
      <w:bCs/>
    </w:rPr>
  </w:style>
  <w:style w:type="character" w:customStyle="1" w:styleId="CommentSubjectChar">
    <w:name w:val="Comment Subject Char"/>
    <w:basedOn w:val="CommentTextChar"/>
    <w:link w:val="CommentSubject"/>
    <w:uiPriority w:val="99"/>
    <w:semiHidden/>
    <w:rsid w:val="00EE7E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cur.com/blog/article/small-steps-key-accounts-payable-automation" TargetMode="External"/><Relationship Id="rId13" Type="http://schemas.openxmlformats.org/officeDocument/2006/relationships/hyperlink" Target="https://www.concur.com/en-us/resource-center/ebooks/five-ap-pitfalls-and-how-avoid-them"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concur.com/blog/article/5-steps-supercharge-your-organizations-purchasing-powe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concur.com/en-us/resource-center/ebooks/8-questions-ask-about-your-ap-system"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https://www.concur.com/ap-process-risk-assessment/questions" TargetMode="External"/><Relationship Id="rId19" Type="http://schemas.openxmlformats.org/officeDocument/2006/relationships/hyperlink" Target="https://www.concur.com/en-us/resource-center/ebooks/level-8-tips-boost-employee-purchasing-power" TargetMode="External"/><Relationship Id="rId4" Type="http://schemas.openxmlformats.org/officeDocument/2006/relationships/settings" Target="settings.xml"/><Relationship Id="rId9" Type="http://schemas.openxmlformats.org/officeDocument/2006/relationships/hyperlink" Target="https://www.concur.com/en-us/resource-center/infographics/small-steps-big-wins-step-accounts-payable-automation" TargetMode="External"/><Relationship Id="rId14" Type="http://schemas.openxmlformats.org/officeDocument/2006/relationships/hyperlink" Target="https://www.concur.com/en-us/resource-center/ebooks/four-costs-hiding-accounts-payable"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FA828-BEF9-481E-AE9F-5237263C4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Walters, Kendra</dc:creator>
  <cp:keywords/>
  <dc:description/>
  <cp:lastModifiedBy>Buskirk, Courtney</cp:lastModifiedBy>
  <cp:revision>2</cp:revision>
  <dcterms:created xsi:type="dcterms:W3CDTF">2023-02-14T21:20:00Z</dcterms:created>
  <dcterms:modified xsi:type="dcterms:W3CDTF">2023-02-14T21:20:00Z</dcterms:modified>
</cp:coreProperties>
</file>